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10" w:rsidRPr="00F75010" w:rsidRDefault="00F75010" w:rsidP="000611E2">
      <w:pPr>
        <w:bidi w:val="0"/>
        <w:spacing w:after="300" w:line="336" w:lineRule="atLeast"/>
        <w:jc w:val="center"/>
        <w:textAlignment w:val="baseline"/>
        <w:outlineLvl w:val="0"/>
        <w:rPr>
          <w:rFonts w:ascii="Tahoma" w:eastAsia="Times New Roman" w:hAnsi="Tahoma" w:cs="Tahoma"/>
          <w:color w:val="444444"/>
          <w:kern w:val="36"/>
          <w:sz w:val="39"/>
          <w:szCs w:val="39"/>
        </w:rPr>
      </w:pPr>
      <w:bookmarkStart w:id="0" w:name="_GoBack"/>
      <w:r w:rsidRPr="00F75010">
        <w:rPr>
          <w:rFonts w:ascii="Tahoma" w:eastAsia="Times New Roman" w:hAnsi="Tahoma" w:cs="Tahoma"/>
          <w:color w:val="444444"/>
          <w:kern w:val="36"/>
          <w:sz w:val="39"/>
          <w:szCs w:val="39"/>
          <w:rtl/>
        </w:rPr>
        <w:t>سياسة آليات الرقابة والإشراف على المنظمة</w:t>
      </w:r>
    </w:p>
    <w:bookmarkEnd w:id="0"/>
    <w:p w:rsidR="00F75010" w:rsidRPr="00F75010" w:rsidRDefault="00F75010" w:rsidP="00F75010">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666666"/>
          <w:sz w:val="21"/>
          <w:szCs w:val="21"/>
        </w:rPr>
        <w:t> </w:t>
      </w:r>
    </w:p>
    <w:p w:rsidR="00F75010" w:rsidRPr="00F75010" w:rsidRDefault="00F75010" w:rsidP="00F75010">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tl/>
        </w:rPr>
        <w:t>مقدمة</w:t>
      </w:r>
    </w:p>
    <w:p w:rsidR="00F75010" w:rsidRPr="00F75010" w:rsidRDefault="00F75010" w:rsidP="000611E2">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إن سياسة آليات الرقابة والاشراف تعد مطلباً أساسياً من متطلبات ضوابط الرقابة الداخلية في الجمعية حيث أنها تعمل على تحديد المسئوليات والصلاحيات الإدارية والتي من شأنها تعزز من ضبط مسارات تدفق المعاملات والاجراءات لتمنع مخاطر الفساد والاحتيال، وتعمل على تطوير العملية الادارية</w:t>
      </w:r>
    </w:p>
    <w:p w:rsidR="00F75010" w:rsidRPr="00F75010" w:rsidRDefault="00F75010" w:rsidP="00F75010">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tl/>
        </w:rPr>
        <w:t>النطاق</w:t>
      </w:r>
    </w:p>
    <w:p w:rsidR="00F75010" w:rsidRPr="00F75010" w:rsidRDefault="00F75010" w:rsidP="00855EAA">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 xml:space="preserve">تحدد هذه السياسة المسؤوليات العامة على كافة العاملين ومن لهم علاقات تعاقدية وتطوعية </w:t>
      </w:r>
    </w:p>
    <w:p w:rsidR="00F75010" w:rsidRPr="00F75010" w:rsidRDefault="00F75010" w:rsidP="00F75010">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tl/>
        </w:rPr>
        <w:t>البيان</w:t>
      </w:r>
    </w:p>
    <w:p w:rsidR="00F75010" w:rsidRPr="00F75010" w:rsidRDefault="007E7016" w:rsidP="00855EAA">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hint="cs"/>
          <w:b/>
          <w:bCs/>
          <w:color w:val="000000"/>
          <w:sz w:val="27"/>
          <w:szCs w:val="27"/>
          <w:bdr w:val="none" w:sz="0" w:space="0" w:color="auto" w:frame="1"/>
          <w:rtl/>
        </w:rPr>
        <w:t>الرقابة بالتقاري</w:t>
      </w:r>
      <w:r w:rsidRPr="00F75010">
        <w:rPr>
          <w:rFonts w:ascii="Tahoma" w:eastAsia="Times New Roman" w:hAnsi="Tahoma" w:cs="Tahoma" w:hint="eastAsia"/>
          <w:b/>
          <w:bCs/>
          <w:color w:val="000000"/>
          <w:sz w:val="27"/>
          <w:szCs w:val="27"/>
          <w:bdr w:val="none" w:sz="0" w:space="0" w:color="auto" w:frame="1"/>
          <w:rtl/>
        </w:rPr>
        <w:t>ر</w:t>
      </w:r>
      <w:r w:rsidR="00F75010" w:rsidRPr="00F75010">
        <w:rPr>
          <w:rFonts w:ascii="Tahoma" w:eastAsia="Times New Roman" w:hAnsi="Tahoma" w:cs="Tahoma"/>
          <w:b/>
          <w:bCs/>
          <w:color w:val="000000"/>
          <w:sz w:val="27"/>
          <w:szCs w:val="27"/>
          <w:bdr w:val="none" w:sz="0" w:space="0" w:color="auto" w:frame="1"/>
          <w:rtl/>
        </w:rPr>
        <w:t xml:space="preserve"> الإدارية</w:t>
      </w:r>
    </w:p>
    <w:p w:rsidR="00F75010" w:rsidRPr="00F75010" w:rsidRDefault="00F75010" w:rsidP="000611E2">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ان التقارير الإدارية يعتمد عليها اعتماد كلي في تقييم الأداء للجمعية، وتوجه هذه التقارير بالدرجة الأولى إلى مجلس الإدارة لأنه الجهة المسؤولة عن اتخاذ القرار في تصحيح الانحراف واتخاذ الإجراءات اللازمة، وأن تعد هذه بصفة دورية وبانتظام، ويجب اعداداها بطريقة جيدة وواضحة ومنها</w:t>
      </w:r>
    </w:p>
    <w:p w:rsidR="000611E2" w:rsidRPr="007E7016" w:rsidRDefault="00F75010" w:rsidP="00855EAA">
      <w:pPr>
        <w:numPr>
          <w:ilvl w:val="0"/>
          <w:numId w:val="2"/>
        </w:numPr>
        <w:shd w:val="clear" w:color="auto" w:fill="FFFFFF"/>
        <w:bidi w:val="0"/>
        <w:spacing w:after="0" w:line="390" w:lineRule="atLeast"/>
        <w:ind w:left="0"/>
        <w:jc w:val="right"/>
        <w:textAlignment w:val="baseline"/>
        <w:rPr>
          <w:rFonts w:ascii="Tahoma" w:eastAsia="Times New Roman" w:hAnsi="Tahoma" w:cs="Tahoma"/>
          <w:b/>
          <w:bCs/>
          <w:color w:val="666666"/>
          <w:sz w:val="21"/>
          <w:szCs w:val="21"/>
        </w:rPr>
      </w:pPr>
      <w:r w:rsidRPr="00F75010">
        <w:rPr>
          <w:rFonts w:ascii="Tahoma" w:eastAsia="Times New Roman" w:hAnsi="Tahoma" w:cs="Tahoma"/>
          <w:b/>
          <w:bCs/>
          <w:color w:val="000000"/>
          <w:sz w:val="27"/>
          <w:szCs w:val="27"/>
          <w:u w:val="single"/>
          <w:bdr w:val="none" w:sz="0" w:space="0" w:color="auto" w:frame="1"/>
          <w:rtl/>
        </w:rPr>
        <w:t>التقارير الدورية</w:t>
      </w:r>
    </w:p>
    <w:p w:rsidR="00F75010" w:rsidRPr="00F75010"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Pr>
        <w:t> </w:t>
      </w:r>
      <w:r w:rsidRPr="00F75010">
        <w:rPr>
          <w:rFonts w:ascii="Tahoma" w:eastAsia="Times New Roman" w:hAnsi="Tahoma" w:cs="Tahoma"/>
          <w:color w:val="000000"/>
          <w:sz w:val="27"/>
          <w:szCs w:val="27"/>
          <w:bdr w:val="none" w:sz="0" w:space="0" w:color="auto" w:frame="1"/>
          <w:rtl/>
        </w:rPr>
        <w:t>وتكون هذه من العاملين لمدراءهم بصفة: يومية، أسبوعية، أو شهرية أو فصلية أو بعد انتهاء مرحلة معينة من مشروع، أو بعد انتهاء مشروع</w:t>
      </w:r>
      <w:r w:rsidRPr="00F75010">
        <w:rPr>
          <w:rFonts w:ascii="Tahoma" w:eastAsia="Times New Roman" w:hAnsi="Tahoma" w:cs="Tahoma"/>
          <w:color w:val="000000"/>
          <w:sz w:val="27"/>
          <w:szCs w:val="27"/>
          <w:bdr w:val="none" w:sz="0" w:space="0" w:color="auto" w:frame="1"/>
        </w:rPr>
        <w:t>.</w:t>
      </w:r>
    </w:p>
    <w:p w:rsidR="000611E2" w:rsidRPr="007E7016"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b/>
          <w:bCs/>
          <w:color w:val="666666"/>
          <w:sz w:val="21"/>
          <w:szCs w:val="21"/>
        </w:rPr>
      </w:pPr>
      <w:r w:rsidRPr="00F75010">
        <w:rPr>
          <w:rFonts w:ascii="Tahoma" w:eastAsia="Times New Roman" w:hAnsi="Tahoma" w:cs="Tahoma"/>
          <w:b/>
          <w:bCs/>
          <w:color w:val="000000"/>
          <w:sz w:val="27"/>
          <w:szCs w:val="27"/>
          <w:u w:val="single"/>
          <w:bdr w:val="none" w:sz="0" w:space="0" w:color="auto" w:frame="1"/>
          <w:rtl/>
        </w:rPr>
        <w:t>تقارير سير الأعمال الإدارية</w:t>
      </w:r>
    </w:p>
    <w:p w:rsidR="00F75010" w:rsidRPr="00F75010"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Pr>
        <w:t> </w:t>
      </w:r>
      <w:r w:rsidRPr="00F75010">
        <w:rPr>
          <w:rFonts w:ascii="Tahoma" w:eastAsia="Times New Roman" w:hAnsi="Tahoma" w:cs="Tahoma"/>
          <w:color w:val="000000"/>
          <w:sz w:val="27"/>
          <w:szCs w:val="27"/>
          <w:bdr w:val="none" w:sz="0" w:space="0" w:color="auto" w:frame="1"/>
          <w:rtl/>
        </w:rPr>
        <w:t>وتكون هذه التقارير من المدراء إلى الإدارة العليا وتتضمن أنشطة الإدارات والإنجازات المتعددة</w:t>
      </w:r>
      <w:r w:rsidRPr="00F75010">
        <w:rPr>
          <w:rFonts w:ascii="Tahoma" w:eastAsia="Times New Roman" w:hAnsi="Tahoma" w:cs="Tahoma"/>
          <w:color w:val="000000"/>
          <w:sz w:val="27"/>
          <w:szCs w:val="27"/>
          <w:bdr w:val="none" w:sz="0" w:space="0" w:color="auto" w:frame="1"/>
        </w:rPr>
        <w:t>.</w:t>
      </w:r>
    </w:p>
    <w:p w:rsidR="000611E2" w:rsidRPr="000611E2"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u w:val="single"/>
          <w:bdr w:val="none" w:sz="0" w:space="0" w:color="auto" w:frame="1"/>
          <w:rtl/>
        </w:rPr>
        <w:t>تقارير الفحص</w:t>
      </w:r>
    </w:p>
    <w:p w:rsidR="000611E2" w:rsidRPr="000611E2"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hint="cs"/>
          <w:color w:val="666666"/>
          <w:sz w:val="21"/>
          <w:szCs w:val="21"/>
        </w:rPr>
      </w:pPr>
      <w:r w:rsidRPr="00F75010">
        <w:rPr>
          <w:rFonts w:ascii="Tahoma" w:eastAsia="Times New Roman" w:hAnsi="Tahoma" w:cs="Tahoma"/>
          <w:color w:val="000000"/>
          <w:sz w:val="27"/>
          <w:szCs w:val="27"/>
          <w:bdr w:val="none" w:sz="0" w:space="0" w:color="auto" w:frame="1"/>
        </w:rPr>
        <w:t> </w:t>
      </w:r>
      <w:r w:rsidRPr="00F75010">
        <w:rPr>
          <w:rFonts w:ascii="Tahoma" w:eastAsia="Times New Roman" w:hAnsi="Tahoma" w:cs="Tahoma"/>
          <w:color w:val="000000"/>
          <w:sz w:val="27"/>
          <w:szCs w:val="27"/>
          <w:bdr w:val="none" w:sz="0" w:space="0" w:color="auto" w:frame="1"/>
          <w:rtl/>
        </w:rPr>
        <w:t xml:space="preserve">وتكون لتحليل ظروف مشروع سابقة ولاحقة لتساعد الإدارة العليا على التصرف السليم في </w:t>
      </w:r>
    </w:p>
    <w:p w:rsidR="00F75010" w:rsidRPr="00F75010"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توجيه القرارات</w:t>
      </w:r>
    </w:p>
    <w:p w:rsidR="007E7016" w:rsidRPr="007E7016" w:rsidRDefault="00F75010" w:rsidP="00F75010">
      <w:pPr>
        <w:numPr>
          <w:ilvl w:val="0"/>
          <w:numId w:val="2"/>
        </w:numPr>
        <w:shd w:val="clear" w:color="auto" w:fill="FFFFFF"/>
        <w:bidi w:val="0"/>
        <w:spacing w:after="0" w:line="390" w:lineRule="atLeast"/>
        <w:ind w:left="0"/>
        <w:jc w:val="right"/>
        <w:textAlignment w:val="baseline"/>
        <w:rPr>
          <w:rFonts w:ascii="Tahoma" w:eastAsia="Times New Roman" w:hAnsi="Tahoma" w:cs="Tahoma"/>
          <w:b/>
          <w:bCs/>
          <w:color w:val="000000"/>
          <w:sz w:val="27"/>
          <w:szCs w:val="27"/>
          <w:u w:val="single"/>
          <w:bdr w:val="none" w:sz="0" w:space="0" w:color="auto" w:frame="1"/>
        </w:rPr>
      </w:pPr>
      <w:r w:rsidRPr="00F75010">
        <w:rPr>
          <w:rFonts w:ascii="Tahoma" w:eastAsia="Times New Roman" w:hAnsi="Tahoma" w:cs="Tahoma"/>
          <w:b/>
          <w:bCs/>
          <w:color w:val="000000"/>
          <w:sz w:val="27"/>
          <w:szCs w:val="27"/>
          <w:u w:val="single"/>
          <w:bdr w:val="none" w:sz="0" w:space="0" w:color="auto" w:frame="1"/>
          <w:rtl/>
        </w:rPr>
        <w:t>تقارير قياس كفاءة العاملين</w:t>
      </w:r>
      <w:r w:rsidRPr="00F75010">
        <w:rPr>
          <w:rFonts w:ascii="Tahoma" w:eastAsia="Times New Roman" w:hAnsi="Tahoma" w:cs="Tahoma"/>
          <w:b/>
          <w:bCs/>
          <w:color w:val="000000"/>
          <w:sz w:val="27"/>
          <w:szCs w:val="27"/>
          <w:u w:val="single"/>
          <w:bdr w:val="none" w:sz="0" w:space="0" w:color="auto" w:frame="1"/>
        </w:rPr>
        <w:t>:</w:t>
      </w:r>
    </w:p>
    <w:p w:rsidR="00F75010" w:rsidRPr="00F75010" w:rsidRDefault="00F75010" w:rsidP="007E7016">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Pr>
        <w:t> </w:t>
      </w:r>
      <w:r w:rsidRPr="00F75010">
        <w:rPr>
          <w:rFonts w:ascii="Tahoma" w:eastAsia="Times New Roman" w:hAnsi="Tahoma" w:cs="Tahoma"/>
          <w:color w:val="000000"/>
          <w:sz w:val="27"/>
          <w:szCs w:val="27"/>
          <w:bdr w:val="none" w:sz="0" w:space="0" w:color="auto" w:frame="1"/>
          <w:rtl/>
        </w:rPr>
        <w:t>وتعد بصفة دورية عادية من قبل الرؤساء المباشرون لمرؤوسيهم، وتشمل على قياس القدرات والتوصية لتطوير تلك القدرات، ومدى تعاونهم مع فريق العمل …وغيره من معايير واضحة مناسبة للجمعية</w:t>
      </w:r>
      <w:r w:rsidRPr="00F75010">
        <w:rPr>
          <w:rFonts w:ascii="Tahoma" w:eastAsia="Times New Roman" w:hAnsi="Tahoma" w:cs="Tahoma"/>
          <w:color w:val="000000"/>
          <w:sz w:val="27"/>
          <w:szCs w:val="27"/>
          <w:bdr w:val="none" w:sz="0" w:space="0" w:color="auto" w:frame="1"/>
        </w:rPr>
        <w:t>.</w:t>
      </w:r>
    </w:p>
    <w:p w:rsidR="007E7016" w:rsidRPr="007E7016" w:rsidRDefault="00F75010" w:rsidP="00F75010">
      <w:pPr>
        <w:numPr>
          <w:ilvl w:val="0"/>
          <w:numId w:val="2"/>
        </w:numPr>
        <w:shd w:val="clear" w:color="auto" w:fill="FFFFFF"/>
        <w:bidi w:val="0"/>
        <w:spacing w:after="0" w:line="390" w:lineRule="atLeast"/>
        <w:ind w:left="0"/>
        <w:jc w:val="right"/>
        <w:textAlignment w:val="baseline"/>
        <w:rPr>
          <w:rFonts w:ascii="Tahoma" w:eastAsia="Times New Roman" w:hAnsi="Tahoma" w:cs="Tahoma"/>
          <w:b/>
          <w:bCs/>
          <w:color w:val="000000"/>
          <w:sz w:val="27"/>
          <w:szCs w:val="27"/>
          <w:u w:val="single"/>
          <w:bdr w:val="none" w:sz="0" w:space="0" w:color="auto" w:frame="1"/>
        </w:rPr>
      </w:pPr>
      <w:r w:rsidRPr="00F75010">
        <w:rPr>
          <w:rFonts w:ascii="Tahoma" w:eastAsia="Times New Roman" w:hAnsi="Tahoma" w:cs="Tahoma"/>
          <w:b/>
          <w:bCs/>
          <w:color w:val="000000"/>
          <w:sz w:val="27"/>
          <w:szCs w:val="27"/>
          <w:u w:val="single"/>
          <w:bdr w:val="none" w:sz="0" w:space="0" w:color="auto" w:frame="1"/>
          <w:rtl/>
        </w:rPr>
        <w:t>المذكرات والرسائل المتبادلة</w:t>
      </w:r>
      <w:r w:rsidRPr="00F75010">
        <w:rPr>
          <w:rFonts w:ascii="Tahoma" w:eastAsia="Times New Roman" w:hAnsi="Tahoma" w:cs="Tahoma"/>
          <w:b/>
          <w:bCs/>
          <w:color w:val="000000"/>
          <w:sz w:val="27"/>
          <w:szCs w:val="27"/>
          <w:u w:val="single"/>
          <w:bdr w:val="none" w:sz="0" w:space="0" w:color="auto" w:frame="1"/>
        </w:rPr>
        <w:t>:</w:t>
      </w:r>
    </w:p>
    <w:p w:rsidR="000611E2" w:rsidRPr="000611E2" w:rsidRDefault="00F75010" w:rsidP="007E7016">
      <w:pPr>
        <w:numPr>
          <w:ilvl w:val="0"/>
          <w:numId w:val="2"/>
        </w:numPr>
        <w:shd w:val="clear" w:color="auto" w:fill="FFFFFF"/>
        <w:bidi w:val="0"/>
        <w:spacing w:after="0" w:line="390" w:lineRule="atLeast"/>
        <w:ind w:left="0"/>
        <w:jc w:val="right"/>
        <w:textAlignment w:val="baseline"/>
        <w:rPr>
          <w:rFonts w:ascii="Tahoma" w:eastAsia="Times New Roman" w:hAnsi="Tahoma" w:cs="Tahoma" w:hint="cs"/>
          <w:color w:val="666666"/>
          <w:sz w:val="21"/>
          <w:szCs w:val="21"/>
        </w:rPr>
      </w:pPr>
      <w:r w:rsidRPr="00F75010">
        <w:rPr>
          <w:rFonts w:ascii="Tahoma" w:eastAsia="Times New Roman" w:hAnsi="Tahoma" w:cs="Tahoma"/>
          <w:color w:val="000000"/>
          <w:sz w:val="27"/>
          <w:szCs w:val="27"/>
          <w:bdr w:val="none" w:sz="0" w:space="0" w:color="auto" w:frame="1"/>
        </w:rPr>
        <w:t> </w:t>
      </w:r>
      <w:r w:rsidRPr="00F75010">
        <w:rPr>
          <w:rFonts w:ascii="Tahoma" w:eastAsia="Times New Roman" w:hAnsi="Tahoma" w:cs="Tahoma"/>
          <w:color w:val="000000"/>
          <w:sz w:val="27"/>
          <w:szCs w:val="27"/>
          <w:bdr w:val="none" w:sz="0" w:space="0" w:color="auto" w:frame="1"/>
          <w:rtl/>
        </w:rPr>
        <w:t>وتكون بين الإدارات والأقسام وتستخدم هذه لحفظ الملفات والمعلومات والبيانات لسهولة الرجوع لها للمتابعة والتقييم</w:t>
      </w:r>
    </w:p>
    <w:p w:rsidR="00F75010" w:rsidRPr="00F75010" w:rsidRDefault="00F75010" w:rsidP="000611E2">
      <w:pPr>
        <w:shd w:val="clear" w:color="auto" w:fill="FFFFFF"/>
        <w:bidi w:val="0"/>
        <w:spacing w:after="0" w:line="390" w:lineRule="atLeast"/>
        <w:ind w:left="360"/>
        <w:jc w:val="right"/>
        <w:textAlignment w:val="baseline"/>
        <w:rPr>
          <w:rFonts w:ascii="Tahoma" w:eastAsia="Times New Roman" w:hAnsi="Tahoma" w:cs="Tahoma"/>
          <w:color w:val="666666"/>
          <w:sz w:val="21"/>
          <w:szCs w:val="21"/>
        </w:rPr>
      </w:pPr>
    </w:p>
    <w:p w:rsidR="00F75010" w:rsidRPr="00F75010" w:rsidRDefault="00F75010" w:rsidP="000611E2">
      <w:pPr>
        <w:shd w:val="clear" w:color="auto" w:fill="FFFFFF"/>
        <w:bidi w:val="0"/>
        <w:spacing w:after="0" w:line="390" w:lineRule="atLeast"/>
        <w:ind w:left="-360"/>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tl/>
        </w:rPr>
        <w:t>‌</w:t>
      </w:r>
      <w:r w:rsidRPr="00F75010">
        <w:rPr>
          <w:rFonts w:ascii="Tahoma" w:eastAsia="Times New Roman" w:hAnsi="Tahoma" w:cs="Tahoma"/>
          <w:b/>
          <w:bCs/>
          <w:color w:val="000000"/>
          <w:sz w:val="27"/>
          <w:szCs w:val="27"/>
          <w:bdr w:val="none" w:sz="0" w:space="0" w:color="auto" w:frame="1"/>
        </w:rPr>
        <w:t> </w:t>
      </w:r>
      <w:r w:rsidRPr="00F75010">
        <w:rPr>
          <w:rFonts w:ascii="Tahoma" w:eastAsia="Times New Roman" w:hAnsi="Tahoma" w:cs="Tahoma"/>
          <w:b/>
          <w:bCs/>
          <w:color w:val="000000"/>
          <w:sz w:val="27"/>
          <w:szCs w:val="27"/>
          <w:bdr w:val="none" w:sz="0" w:space="0" w:color="auto" w:frame="1"/>
          <w:rtl/>
        </w:rPr>
        <w:t>التقارير الخاصة</w:t>
      </w:r>
    </w:p>
    <w:p w:rsidR="00F75010" w:rsidRPr="00F75010"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تقارير الملاحظة الشخصية</w:t>
      </w:r>
      <w:r w:rsidRPr="00F75010">
        <w:rPr>
          <w:rFonts w:ascii="Tahoma" w:eastAsia="Times New Roman" w:hAnsi="Tahoma" w:cs="Tahoma"/>
          <w:color w:val="000000"/>
          <w:sz w:val="27"/>
          <w:szCs w:val="27"/>
          <w:bdr w:val="none" w:sz="0" w:space="0" w:color="auto" w:frame="1"/>
        </w:rPr>
        <w:t>.</w:t>
      </w:r>
    </w:p>
    <w:p w:rsidR="00F75010" w:rsidRPr="00F75010" w:rsidRDefault="00F75010" w:rsidP="00F75010">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تقارير الاحصائيات والرسوم البيانية</w:t>
      </w:r>
      <w:r w:rsidRPr="00F75010">
        <w:rPr>
          <w:rFonts w:ascii="Tahoma" w:eastAsia="Times New Roman" w:hAnsi="Tahoma" w:cs="Tahoma"/>
          <w:color w:val="000000"/>
          <w:sz w:val="27"/>
          <w:szCs w:val="27"/>
          <w:bdr w:val="none" w:sz="0" w:space="0" w:color="auto" w:frame="1"/>
        </w:rPr>
        <w:t>.</w:t>
      </w:r>
    </w:p>
    <w:p w:rsidR="00F75010" w:rsidRPr="00F75010"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lastRenderedPageBreak/>
        <w:t>مراجعة الموازنات التقديرية</w:t>
      </w:r>
      <w:r w:rsidRPr="00F75010">
        <w:rPr>
          <w:rFonts w:ascii="Tahoma" w:eastAsia="Times New Roman" w:hAnsi="Tahoma" w:cs="Tahoma"/>
          <w:color w:val="000000"/>
          <w:sz w:val="27"/>
          <w:szCs w:val="27"/>
          <w:bdr w:val="none" w:sz="0" w:space="0" w:color="auto" w:frame="1"/>
        </w:rPr>
        <w:t>.</w:t>
      </w:r>
    </w:p>
    <w:p w:rsidR="00F75010" w:rsidRPr="00F75010" w:rsidRDefault="00F75010" w:rsidP="00F75010">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متابعة ملف الشكاوى والتنظيمات</w:t>
      </w:r>
      <w:r w:rsidRPr="00F75010">
        <w:rPr>
          <w:rFonts w:ascii="Tahoma" w:eastAsia="Times New Roman" w:hAnsi="Tahoma" w:cs="Tahoma"/>
          <w:color w:val="000000"/>
          <w:sz w:val="27"/>
          <w:szCs w:val="27"/>
          <w:bdr w:val="none" w:sz="0" w:space="0" w:color="auto" w:frame="1"/>
        </w:rPr>
        <w:t>.</w:t>
      </w:r>
    </w:p>
    <w:p w:rsidR="00F75010" w:rsidRPr="00F75010" w:rsidRDefault="00F75010" w:rsidP="00F75010">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مراقبة السجلات والمراقبة الداخلية</w:t>
      </w:r>
      <w:r w:rsidRPr="00F75010">
        <w:rPr>
          <w:rFonts w:ascii="Tahoma" w:eastAsia="Times New Roman" w:hAnsi="Tahoma" w:cs="Tahoma"/>
          <w:color w:val="000000"/>
          <w:sz w:val="27"/>
          <w:szCs w:val="27"/>
          <w:bdr w:val="none" w:sz="0" w:space="0" w:color="auto" w:frame="1"/>
        </w:rPr>
        <w:t>.</w:t>
      </w:r>
    </w:p>
    <w:p w:rsidR="00F75010" w:rsidRPr="00F75010" w:rsidRDefault="00F75010" w:rsidP="00F75010">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مراقبة السير وفق معايير نظام الجودة</w:t>
      </w:r>
      <w:r w:rsidRPr="00F75010">
        <w:rPr>
          <w:rFonts w:ascii="Tahoma" w:eastAsia="Times New Roman" w:hAnsi="Tahoma" w:cs="Tahoma"/>
          <w:color w:val="000000"/>
          <w:sz w:val="27"/>
          <w:szCs w:val="27"/>
          <w:bdr w:val="none" w:sz="0" w:space="0" w:color="auto" w:frame="1"/>
        </w:rPr>
        <w:t>.</w:t>
      </w:r>
    </w:p>
    <w:p w:rsidR="00F75010" w:rsidRPr="00F75010" w:rsidRDefault="00F75010" w:rsidP="000611E2">
      <w:pPr>
        <w:numPr>
          <w:ilvl w:val="0"/>
          <w:numId w:val="2"/>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تقييم ومراجعة المشاريع</w:t>
      </w:r>
      <w:r w:rsidRPr="00F75010">
        <w:rPr>
          <w:rFonts w:ascii="Tahoma" w:eastAsia="Times New Roman" w:hAnsi="Tahoma" w:cs="Tahoma"/>
          <w:color w:val="000000"/>
          <w:sz w:val="27"/>
          <w:szCs w:val="27"/>
          <w:bdr w:val="none" w:sz="0" w:space="0" w:color="auto" w:frame="1"/>
        </w:rPr>
        <w:t>.</w:t>
      </w:r>
    </w:p>
    <w:p w:rsidR="00F75010" w:rsidRPr="00F75010" w:rsidRDefault="00F75010" w:rsidP="000611E2">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tl/>
        </w:rPr>
        <w:t>ثانياً: المبادئ</w:t>
      </w:r>
    </w:p>
    <w:p w:rsidR="00F75010" w:rsidRPr="00F75010" w:rsidRDefault="00F75010" w:rsidP="000611E2">
      <w:pPr>
        <w:numPr>
          <w:ilvl w:val="0"/>
          <w:numId w:val="3"/>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tl/>
        </w:rPr>
        <w:t>مبدأ التكاملية</w:t>
      </w:r>
    </w:p>
    <w:p w:rsidR="00F75010" w:rsidRPr="00F75010" w:rsidRDefault="00F75010" w:rsidP="000611E2">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تكامل الرقابة وأساليبها من الأنظمة واللوائح التنظيمية والخطط الاستراتيجية والتنفيذية في الجمعية</w:t>
      </w:r>
    </w:p>
    <w:p w:rsidR="00F75010" w:rsidRPr="00F75010" w:rsidRDefault="00F75010" w:rsidP="000611E2">
      <w:pPr>
        <w:shd w:val="clear" w:color="auto" w:fill="FFFFFF"/>
        <w:bidi w:val="0"/>
        <w:spacing w:after="0" w:line="390" w:lineRule="atLeast"/>
        <w:ind w:left="360"/>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Pr>
        <w:t> </w:t>
      </w:r>
      <w:r w:rsidRPr="00F75010">
        <w:rPr>
          <w:rFonts w:ascii="Tahoma" w:eastAsia="Times New Roman" w:hAnsi="Tahoma" w:cs="Tahoma"/>
          <w:b/>
          <w:bCs/>
          <w:color w:val="000000"/>
          <w:sz w:val="27"/>
          <w:szCs w:val="27"/>
          <w:bdr w:val="none" w:sz="0" w:space="0" w:color="auto" w:frame="1"/>
          <w:rtl/>
        </w:rPr>
        <w:t>مبدأ الوضوح والبساطة</w:t>
      </w:r>
    </w:p>
    <w:p w:rsidR="00F75010" w:rsidRPr="00F75010" w:rsidRDefault="00F75010" w:rsidP="00F75010">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سهولة نظام الرقابة وبساطته ليكون سهل الفهم للعاملين والمنفذين ليسهم في التطبيق الناجح والحصول على النتائج المناسبة</w:t>
      </w:r>
      <w:r w:rsidRPr="00F75010">
        <w:rPr>
          <w:rFonts w:ascii="Tahoma" w:eastAsia="Times New Roman" w:hAnsi="Tahoma" w:cs="Tahoma"/>
          <w:color w:val="000000"/>
          <w:sz w:val="27"/>
          <w:szCs w:val="27"/>
          <w:bdr w:val="none" w:sz="0" w:space="0" w:color="auto" w:frame="1"/>
        </w:rPr>
        <w:t>.</w:t>
      </w:r>
    </w:p>
    <w:p w:rsidR="00F75010" w:rsidRPr="00F75010" w:rsidRDefault="00F75010" w:rsidP="000611E2">
      <w:pPr>
        <w:numPr>
          <w:ilvl w:val="0"/>
          <w:numId w:val="5"/>
        </w:numPr>
        <w:shd w:val="clear" w:color="auto" w:fill="FFFFFF"/>
        <w:bidi w:val="0"/>
        <w:spacing w:after="0" w:line="390" w:lineRule="atLeast"/>
        <w:ind w:left="0"/>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Pr>
        <w:t> </w:t>
      </w:r>
      <w:r w:rsidRPr="00F75010">
        <w:rPr>
          <w:rFonts w:ascii="Tahoma" w:eastAsia="Times New Roman" w:hAnsi="Tahoma" w:cs="Tahoma"/>
          <w:b/>
          <w:bCs/>
          <w:color w:val="000000"/>
          <w:sz w:val="27"/>
          <w:szCs w:val="27"/>
          <w:bdr w:val="none" w:sz="0" w:space="0" w:color="auto" w:frame="1"/>
          <w:rtl/>
        </w:rPr>
        <w:t>مبدأ سرعة كشف الانحرافات والابلاغ عن الأخطاء</w:t>
      </w:r>
    </w:p>
    <w:p w:rsidR="00F75010" w:rsidRPr="00F75010" w:rsidRDefault="00F75010" w:rsidP="00F75010">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أن نظام الرقابة وفاعليته في الجمعية لكشف الانحرافات والتبليغ عنها بسرعة وتحديد أسبابها لمعالجة وتصحيح تلك الانحرافات والأخطاء</w:t>
      </w:r>
      <w:r w:rsidRPr="00F75010">
        <w:rPr>
          <w:rFonts w:ascii="Tahoma" w:eastAsia="Times New Roman" w:hAnsi="Tahoma" w:cs="Tahoma"/>
          <w:color w:val="000000"/>
          <w:sz w:val="27"/>
          <w:szCs w:val="27"/>
          <w:bdr w:val="none" w:sz="0" w:space="0" w:color="auto" w:frame="1"/>
        </w:rPr>
        <w:t>.</w:t>
      </w:r>
    </w:p>
    <w:p w:rsidR="00F75010" w:rsidRPr="00F75010" w:rsidRDefault="00F75010" w:rsidP="000611E2">
      <w:pPr>
        <w:shd w:val="clear" w:color="auto" w:fill="FFFFFF"/>
        <w:bidi w:val="0"/>
        <w:spacing w:after="0" w:line="390" w:lineRule="atLeast"/>
        <w:ind w:left="360"/>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Pr>
        <w:t> </w:t>
      </w:r>
      <w:r w:rsidRPr="00F75010">
        <w:rPr>
          <w:rFonts w:ascii="Tahoma" w:eastAsia="Times New Roman" w:hAnsi="Tahoma" w:cs="Tahoma"/>
          <w:b/>
          <w:bCs/>
          <w:color w:val="000000"/>
          <w:sz w:val="27"/>
          <w:szCs w:val="27"/>
          <w:bdr w:val="none" w:sz="0" w:space="0" w:color="auto" w:frame="1"/>
          <w:rtl/>
        </w:rPr>
        <w:t>مبدأ الدقة</w:t>
      </w:r>
    </w:p>
    <w:p w:rsidR="00F75010" w:rsidRPr="00F75010" w:rsidRDefault="00F75010" w:rsidP="000611E2">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إن دقة المعلومة ومصدرها هام بالنسبة للإدارة العليا لأنها هي التي تساعد على صنع القرار والتوجيه السليم واتخاذ الإجراءات المناسبة، وعدم الدقة في ذلك يعرض الجمعية لمشاكل وكوارث لا قدر الله</w:t>
      </w:r>
    </w:p>
    <w:p w:rsidR="00F75010" w:rsidRPr="00F75010" w:rsidRDefault="00F75010" w:rsidP="00F75010">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b/>
          <w:bCs/>
          <w:color w:val="000000"/>
          <w:sz w:val="27"/>
          <w:szCs w:val="27"/>
          <w:bdr w:val="none" w:sz="0" w:space="0" w:color="auto" w:frame="1"/>
          <w:rtl/>
        </w:rPr>
        <w:t>المسؤوليات</w:t>
      </w:r>
    </w:p>
    <w:p w:rsidR="00F75010" w:rsidRPr="00F75010" w:rsidRDefault="00F75010" w:rsidP="000611E2">
      <w:pPr>
        <w:shd w:val="clear" w:color="auto" w:fill="FFFFFF"/>
        <w:bidi w:val="0"/>
        <w:spacing w:after="0" w:line="408" w:lineRule="atLeast"/>
        <w:jc w:val="right"/>
        <w:textAlignment w:val="baseline"/>
        <w:rPr>
          <w:rFonts w:ascii="Tahoma" w:eastAsia="Times New Roman" w:hAnsi="Tahoma" w:cs="Tahoma"/>
          <w:color w:val="666666"/>
          <w:sz w:val="21"/>
          <w:szCs w:val="21"/>
        </w:rPr>
      </w:pPr>
      <w:r w:rsidRPr="00F75010">
        <w:rPr>
          <w:rFonts w:ascii="Tahoma" w:eastAsia="Times New Roman" w:hAnsi="Tahoma" w:cs="Tahoma"/>
          <w:color w:val="000000"/>
          <w:sz w:val="27"/>
          <w:szCs w:val="27"/>
          <w:bdr w:val="none" w:sz="0" w:space="0" w:color="auto" w:frame="1"/>
          <w:rtl/>
        </w:rPr>
        <w:t>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الإدارات والأقسام بنسخة منها</w:t>
      </w:r>
    </w:p>
    <w:p w:rsidR="00F75010" w:rsidRPr="00F75010" w:rsidRDefault="00F75010" w:rsidP="000611E2">
      <w:pPr>
        <w:shd w:val="clear" w:color="auto" w:fill="FFFFFF"/>
        <w:bidi w:val="0"/>
        <w:spacing w:after="0" w:line="408" w:lineRule="atLeast"/>
        <w:jc w:val="right"/>
        <w:textAlignment w:val="baseline"/>
        <w:rPr>
          <w:rFonts w:ascii="Tahoma" w:eastAsia="Times New Roman" w:hAnsi="Tahoma" w:cs="Tahoma"/>
          <w:color w:val="666666"/>
          <w:sz w:val="21"/>
          <w:szCs w:val="21"/>
        </w:rPr>
      </w:pPr>
    </w:p>
    <w:p w:rsidR="00F66059" w:rsidRPr="00F75010" w:rsidRDefault="007E7016">
      <w:pPr>
        <w:rPr>
          <w:rFonts w:hint="cs"/>
        </w:rPr>
      </w:pPr>
    </w:p>
    <w:sectPr w:rsidR="00F66059" w:rsidRPr="00F75010" w:rsidSect="000611E2">
      <w:pgSz w:w="11906" w:h="16838"/>
      <w:pgMar w:top="1440" w:right="851" w:bottom="144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79E9"/>
    <w:multiLevelType w:val="multilevel"/>
    <w:tmpl w:val="49EC5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C5F7F"/>
    <w:multiLevelType w:val="multilevel"/>
    <w:tmpl w:val="CA107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A70B6"/>
    <w:multiLevelType w:val="multilevel"/>
    <w:tmpl w:val="9594F31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3A3D6438"/>
    <w:multiLevelType w:val="multilevel"/>
    <w:tmpl w:val="126E6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37209"/>
    <w:multiLevelType w:val="multilevel"/>
    <w:tmpl w:val="7548DFAA"/>
    <w:lvl w:ilvl="0">
      <w:start w:val="1"/>
      <w:numFmt w:val="bullet"/>
      <w:lvlText w:val=""/>
      <w:lvlJc w:val="left"/>
      <w:pPr>
        <w:tabs>
          <w:tab w:val="num" w:pos="7306"/>
        </w:tabs>
        <w:ind w:left="7306" w:hanging="360"/>
      </w:pPr>
      <w:rPr>
        <w:rFonts w:ascii="Wingdings" w:hAnsi="Wingdings" w:cs="Times New Roman"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D2D5FD4"/>
    <w:multiLevelType w:val="multilevel"/>
    <w:tmpl w:val="12E095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72"/>
    <w:rsid w:val="000611E2"/>
    <w:rsid w:val="002A18FA"/>
    <w:rsid w:val="00565472"/>
    <w:rsid w:val="00777E4F"/>
    <w:rsid w:val="007E7016"/>
    <w:rsid w:val="00855EAA"/>
    <w:rsid w:val="00F75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78484">
      <w:bodyDiv w:val="1"/>
      <w:marLeft w:val="0"/>
      <w:marRight w:val="0"/>
      <w:marTop w:val="0"/>
      <w:marBottom w:val="0"/>
      <w:divBdr>
        <w:top w:val="none" w:sz="0" w:space="0" w:color="auto"/>
        <w:left w:val="none" w:sz="0" w:space="0" w:color="auto"/>
        <w:bottom w:val="none" w:sz="0" w:space="0" w:color="auto"/>
        <w:right w:val="none" w:sz="0" w:space="0" w:color="auto"/>
      </w:divBdr>
      <w:divsChild>
        <w:div w:id="168945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CompuNeT</dc:creator>
  <cp:lastModifiedBy>CompuNeT</cp:lastModifiedBy>
  <cp:revision>2</cp:revision>
  <cp:lastPrinted>2020-12-07T10:39:00Z</cp:lastPrinted>
  <dcterms:created xsi:type="dcterms:W3CDTF">2020-12-08T07:42:00Z</dcterms:created>
  <dcterms:modified xsi:type="dcterms:W3CDTF">2020-12-08T07:42:00Z</dcterms:modified>
</cp:coreProperties>
</file>